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1D13" w14:textId="77777777" w:rsidR="006900D1" w:rsidRPr="00901492" w:rsidRDefault="006900D1" w:rsidP="00C86CCB">
      <w:pPr>
        <w:pStyle w:val="Ttulo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78471E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24D5E1A4" w:rsidR="0099461D" w:rsidRPr="00901492" w:rsidRDefault="00A928C9" w:rsidP="007847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</w:t>
            </w:r>
            <w:r w:rsidR="0078471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3</w:t>
            </w:r>
            <w:r w:rsidR="000E58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1</w:t>
            </w:r>
            <w:r w:rsidR="005B28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DE </w:t>
            </w:r>
            <w:r w:rsidR="001B2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AGOSTO</w:t>
            </w:r>
            <w:r w:rsidR="0078471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6B79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 2025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E3E542" w14:textId="71683613" w:rsidR="004F0022" w:rsidRPr="00901492" w:rsidRDefault="00C86CCB" w:rsidP="004F00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="001B2FA5" w:rsidRPr="001B2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MX"/>
              </w:rPr>
              <w:t>5,098,550.28</w:t>
            </w:r>
          </w:p>
        </w:tc>
      </w:tr>
      <w:tr w:rsidR="00A8564D" w:rsidRPr="005B099E" w14:paraId="5994E579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Fondo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Rotativo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Interno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D0926" w14:textId="4552C2FF" w:rsidR="0099461D" w:rsidRPr="000E5898" w:rsidRDefault="007A69FB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</w:t>
            </w:r>
            <w:r w:rsidR="00901492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</w:t>
            </w:r>
            <w:r w:rsidR="0078471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</w:t>
            </w:r>
            <w:r w:rsidR="001B2FA5" w:rsidRPr="001B2FA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2,877.00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8E1F35" w14:textId="6FBBDEF2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B2FA5" w:rsidRPr="001B2FA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/>
              </w:rPr>
              <w:t>36,340.00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1F42D" w14:textId="60821636" w:rsidR="0099461D" w:rsidRPr="00901492" w:rsidRDefault="001B2FA5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 xml:space="preserve">Q        </w:t>
            </w:r>
            <w:r w:rsidRPr="001B2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2,064,924.70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</w:t>
      </w:r>
      <w:proofErr w:type="gram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  Nota</w:t>
      </w:r>
      <w:proofErr w:type="gram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: Esta cuenta de depósitos monetarios se </w:t>
      </w:r>
      <w:proofErr w:type="spell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aperturó</w:t>
      </w:r>
      <w:proofErr w:type="spell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157634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D2AF" w14:textId="77777777" w:rsidR="006E212C" w:rsidRDefault="006E212C" w:rsidP="004577BC">
      <w:r>
        <w:separator/>
      </w:r>
    </w:p>
  </w:endnote>
  <w:endnote w:type="continuationSeparator" w:id="0">
    <w:p w14:paraId="5F2551CD" w14:textId="77777777" w:rsidR="006E212C" w:rsidRDefault="006E212C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3DF5A" w14:textId="77777777" w:rsidR="006E212C" w:rsidRDefault="006E212C" w:rsidP="004577BC">
      <w:r>
        <w:separator/>
      </w:r>
    </w:p>
  </w:footnote>
  <w:footnote w:type="continuationSeparator" w:id="0">
    <w:p w14:paraId="3DCE249D" w14:textId="77777777" w:rsidR="006E212C" w:rsidRDefault="006E212C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1B36F315" w:rsidR="006C1A4B" w:rsidRPr="006C1A4B" w:rsidRDefault="006C1A4B" w:rsidP="007B5F75">
    <w:pPr>
      <w:pStyle w:val="Encabezado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 xml:space="preserve">: </w:t>
    </w:r>
    <w:r w:rsidR="001B2FA5">
      <w:rPr>
        <w:rFonts w:ascii="Arial" w:hAnsi="Arial" w:cs="Arial"/>
        <w:b/>
        <w:sz w:val="20"/>
        <w:szCs w:val="20"/>
        <w:lang w:val="es-GT"/>
      </w:rPr>
      <w:t>agosto</w:t>
    </w:r>
    <w:r w:rsidR="002A0B8A">
      <w:rPr>
        <w:rFonts w:ascii="Arial" w:hAnsi="Arial" w:cs="Arial"/>
        <w:b/>
        <w:sz w:val="20"/>
        <w:szCs w:val="20"/>
        <w:lang w:val="es-GT"/>
      </w:rPr>
      <w:t xml:space="preserve"> 202</w:t>
    </w:r>
    <w:r w:rsidR="006B79C5">
      <w:rPr>
        <w:rFonts w:ascii="Arial" w:hAnsi="Arial" w:cs="Arial"/>
        <w:b/>
        <w:sz w:val="20"/>
        <w:szCs w:val="20"/>
        <w:lang w:val="es-GT"/>
      </w:rPr>
      <w:t>5</w:t>
    </w:r>
  </w:p>
  <w:p w14:paraId="6D72BE99" w14:textId="77777777" w:rsidR="006C1A4B" w:rsidRPr="006C1A4B" w:rsidRDefault="006C1A4B" w:rsidP="006C1A4B">
    <w:pPr>
      <w:pStyle w:val="Encabezado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8764B"/>
    <w:rsid w:val="000B4750"/>
    <w:rsid w:val="000C1B39"/>
    <w:rsid w:val="000D1CC8"/>
    <w:rsid w:val="000E5898"/>
    <w:rsid w:val="00110019"/>
    <w:rsid w:val="00116166"/>
    <w:rsid w:val="001377CF"/>
    <w:rsid w:val="00144C0B"/>
    <w:rsid w:val="001547D3"/>
    <w:rsid w:val="00157634"/>
    <w:rsid w:val="00173648"/>
    <w:rsid w:val="00180A48"/>
    <w:rsid w:val="00191A41"/>
    <w:rsid w:val="001A53A4"/>
    <w:rsid w:val="001B2FA5"/>
    <w:rsid w:val="001F7EA3"/>
    <w:rsid w:val="00217DA7"/>
    <w:rsid w:val="002601E4"/>
    <w:rsid w:val="00286C10"/>
    <w:rsid w:val="002A0B8A"/>
    <w:rsid w:val="002A2043"/>
    <w:rsid w:val="002C594E"/>
    <w:rsid w:val="002D4E20"/>
    <w:rsid w:val="002E3316"/>
    <w:rsid w:val="003572FB"/>
    <w:rsid w:val="00361A73"/>
    <w:rsid w:val="003808BB"/>
    <w:rsid w:val="003C170C"/>
    <w:rsid w:val="003C49C6"/>
    <w:rsid w:val="00400531"/>
    <w:rsid w:val="004577BC"/>
    <w:rsid w:val="004602BB"/>
    <w:rsid w:val="00475935"/>
    <w:rsid w:val="00493BF9"/>
    <w:rsid w:val="004A1905"/>
    <w:rsid w:val="004B0F80"/>
    <w:rsid w:val="004C65B0"/>
    <w:rsid w:val="004D2772"/>
    <w:rsid w:val="004E294F"/>
    <w:rsid w:val="004F0022"/>
    <w:rsid w:val="004F110C"/>
    <w:rsid w:val="0051317C"/>
    <w:rsid w:val="00517FA8"/>
    <w:rsid w:val="0053207F"/>
    <w:rsid w:val="00576A65"/>
    <w:rsid w:val="0059074E"/>
    <w:rsid w:val="005B099E"/>
    <w:rsid w:val="005B284B"/>
    <w:rsid w:val="005B72C1"/>
    <w:rsid w:val="005C5914"/>
    <w:rsid w:val="006041C3"/>
    <w:rsid w:val="00615B3E"/>
    <w:rsid w:val="00651981"/>
    <w:rsid w:val="006770C1"/>
    <w:rsid w:val="006900D1"/>
    <w:rsid w:val="006930E0"/>
    <w:rsid w:val="006B0A4F"/>
    <w:rsid w:val="006B79C5"/>
    <w:rsid w:val="006C1A4B"/>
    <w:rsid w:val="006C245C"/>
    <w:rsid w:val="006D2D13"/>
    <w:rsid w:val="006D58CA"/>
    <w:rsid w:val="006E212C"/>
    <w:rsid w:val="006F59E0"/>
    <w:rsid w:val="00745626"/>
    <w:rsid w:val="0078471E"/>
    <w:rsid w:val="0079209E"/>
    <w:rsid w:val="00793A79"/>
    <w:rsid w:val="007A69FB"/>
    <w:rsid w:val="007B5F75"/>
    <w:rsid w:val="007C5970"/>
    <w:rsid w:val="007E1D5A"/>
    <w:rsid w:val="007F3E31"/>
    <w:rsid w:val="008165F6"/>
    <w:rsid w:val="008C7A30"/>
    <w:rsid w:val="008F6C23"/>
    <w:rsid w:val="00901492"/>
    <w:rsid w:val="00914AD8"/>
    <w:rsid w:val="00965FD0"/>
    <w:rsid w:val="009770A6"/>
    <w:rsid w:val="009845D9"/>
    <w:rsid w:val="00984EE7"/>
    <w:rsid w:val="0099461D"/>
    <w:rsid w:val="009E3B5F"/>
    <w:rsid w:val="00A00128"/>
    <w:rsid w:val="00A365D0"/>
    <w:rsid w:val="00A36F7F"/>
    <w:rsid w:val="00A573C7"/>
    <w:rsid w:val="00A6535E"/>
    <w:rsid w:val="00A7192B"/>
    <w:rsid w:val="00A75166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2DCF"/>
    <w:rsid w:val="00B66F5C"/>
    <w:rsid w:val="00B7590D"/>
    <w:rsid w:val="00B80980"/>
    <w:rsid w:val="00B929B0"/>
    <w:rsid w:val="00BA040B"/>
    <w:rsid w:val="00BB6EC5"/>
    <w:rsid w:val="00C06854"/>
    <w:rsid w:val="00C07405"/>
    <w:rsid w:val="00C322EE"/>
    <w:rsid w:val="00C33813"/>
    <w:rsid w:val="00C55704"/>
    <w:rsid w:val="00C80EB1"/>
    <w:rsid w:val="00C86CCB"/>
    <w:rsid w:val="00C93F92"/>
    <w:rsid w:val="00CD5243"/>
    <w:rsid w:val="00D03CF0"/>
    <w:rsid w:val="00D42B15"/>
    <w:rsid w:val="00DF367B"/>
    <w:rsid w:val="00E04FCC"/>
    <w:rsid w:val="00E120C2"/>
    <w:rsid w:val="00E40230"/>
    <w:rsid w:val="00E41B9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71078"/>
    <w:rsid w:val="00F812C5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Ttulo2Car">
    <w:name w:val="Título 2 Car"/>
    <w:basedOn w:val="Fuentedeprrafopredeter"/>
    <w:link w:val="Ttulo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TESORERIA-CES</cp:lastModifiedBy>
  <cp:revision>22</cp:revision>
  <dcterms:created xsi:type="dcterms:W3CDTF">2023-05-04T18:13:00Z</dcterms:created>
  <dcterms:modified xsi:type="dcterms:W3CDTF">2025-09-04T17:18:00Z</dcterms:modified>
</cp:coreProperties>
</file>